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10</w:t>
      </w:r>
      <w:r>
        <w:rPr>
          <w:rFonts w:hint="eastAsia"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400841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hint="eastAsia" w:ascii="Arial" w:hAnsi="Arial" w:eastAsia="宋体" w:cs="Arial"/>
          <w:b/>
          <w:bCs/>
          <w:lang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Athens</w:t>
      </w:r>
      <w:r>
        <w:rPr>
          <w:rFonts w:hint="eastAsia" w:ascii="Arial" w:hAnsi="Arial" w:eastAsia="宋体" w:cs="Arial"/>
          <w:b/>
        </w:rPr>
        <w:t xml:space="preserve">, </w:t>
      </w:r>
      <w:r>
        <w:rPr>
          <w:rFonts w:hint="eastAsia" w:ascii="Arial" w:hAnsi="Arial" w:eastAsia="宋体" w:cs="Arial"/>
          <w:b/>
          <w:lang w:val="en-US" w:eastAsia="zh-CN"/>
        </w:rPr>
        <w:t>Greece</w:t>
      </w:r>
      <w:r>
        <w:rPr>
          <w:rFonts w:hint="eastAsia" w:ascii="Arial" w:hAnsi="Arial" w:eastAsia="宋体" w:cs="Arial"/>
          <w:b/>
        </w:rPr>
        <w:t xml:space="preserve">, </w:t>
      </w:r>
      <w:r>
        <w:rPr>
          <w:rFonts w:hint="eastAsia" w:ascii="Arial" w:hAnsi="Arial" w:eastAsia="宋体" w:cs="Arial"/>
          <w:b/>
          <w:lang w:val="en-US" w:eastAsia="zh-CN"/>
        </w:rPr>
        <w:t>Feb 26 - Mar 1</w:t>
      </w:r>
      <w:r>
        <w:rPr>
          <w:rFonts w:hint="eastAsia" w:ascii="Arial" w:hAnsi="Arial" w:eastAsia="宋体" w:cs="Arial"/>
          <w:b/>
        </w:rPr>
        <w:t>, 202</w:t>
      </w:r>
      <w:r>
        <w:rPr>
          <w:rFonts w:hint="eastAsia" w:ascii="Arial" w:hAnsi="Arial" w:eastAsia="宋体" w:cs="Arial"/>
          <w:b/>
          <w:lang w:val="en-US" w:eastAsia="zh-CN"/>
        </w:rPr>
        <w:t>4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  <w:highlight w:val="none"/>
        </w:rPr>
        <w:t>8.</w:t>
      </w:r>
      <w:r>
        <w:rPr>
          <w:rFonts w:hint="eastAsia"/>
          <w:sz w:val="22"/>
          <w:highlight w:val="none"/>
          <w:lang w:val="en-US" w:eastAsia="zh-CN"/>
        </w:rPr>
        <w:t>9.7</w:t>
      </w:r>
      <w:r>
        <w:rPr>
          <w:sz w:val="22"/>
          <w:highlight w:val="none"/>
        </w:rPr>
        <w:t>.2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</w:t>
      </w:r>
      <w:r>
        <w:rPr>
          <w:rFonts w:hint="eastAsia"/>
          <w:sz w:val="22"/>
          <w:lang w:val="en-US" w:eastAsia="zh-CN"/>
        </w:rPr>
        <w:t xml:space="preserve">(NR_ATG-Perf) Discussion and </w:t>
      </w:r>
      <w:r>
        <w:rPr>
          <w:sz w:val="22"/>
        </w:rPr>
        <w:t>Simulation results for ATG PDSCH demodulation</w:t>
      </w:r>
      <w:bookmarkEnd w:id="2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Whether to introduce the DL 1024QAM is still open based on the last meeting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>s report.</w:t>
      </w:r>
    </w:p>
    <w:p>
      <w:pPr>
        <w:tabs>
          <w:tab w:val="left" w:pos="1134"/>
        </w:tabs>
        <w:spacing w:after="120" w:line="240" w:lineRule="exact"/>
        <w:rPr>
          <w:rFonts w:hint="eastAsia"/>
          <w:i/>
          <w:iCs/>
          <w:sz w:val="20"/>
          <w:szCs w:val="20"/>
          <w:highlight w:val="green"/>
          <w:lang w:val="en-US" w:eastAsia="zh-CN"/>
        </w:rPr>
      </w:pPr>
      <w:r>
        <w:rPr>
          <w:rFonts w:hint="eastAsia"/>
          <w:i/>
          <w:iCs/>
          <w:sz w:val="20"/>
          <w:szCs w:val="20"/>
          <w:highlight w:val="green"/>
          <w:lang w:val="en-US" w:eastAsia="zh-CN"/>
        </w:rPr>
        <w:t>Agreement:  We can continue to discuss 1024QAM UE demodulation requirements in future meetings.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</w:rPr>
        <w:t>In this contribution, we provide our simulation results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en-US" w:eastAsia="zh-CN"/>
        </w:rPr>
        <w:t>for 1024QAM</w:t>
      </w:r>
      <w:r>
        <w:rPr>
          <w:sz w:val="20"/>
          <w:szCs w:val="20"/>
        </w:rPr>
        <w:t xml:space="preserve">. 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1"/>
      <w:bookmarkStart w:id="6" w:name="OLE_LINK2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>
      <w:pPr>
        <w:spacing w:before="312" w:beforeLines="100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FDD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FDD SCS=15kHz AWGN+220Hz </w:t>
            </w:r>
            <w:r>
              <w:rPr>
                <w:rFonts w:hint="eastAsia"/>
                <w:sz w:val="20"/>
                <w:szCs w:val="20"/>
              </w:rPr>
              <w:t>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Table4 23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Table4 23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</w:t>
            </w:r>
          </w:p>
        </w:tc>
      </w:tr>
    </w:tbl>
    <w:p>
      <w:pPr>
        <w:spacing w:line="288" w:lineRule="auto"/>
        <w:jc w:val="center"/>
        <w:rPr>
          <w:sz w:val="20"/>
          <w:szCs w:val="20"/>
        </w:rPr>
      </w:pPr>
      <w:r>
        <w:rPr>
          <w:sz w:val="20"/>
          <w:szCs w:val="20"/>
        </w:rPr>
        <w:drawing>
          <wp:inline distT="0" distB="0" distL="0" distR="0">
            <wp:extent cx="4947285" cy="3801110"/>
            <wp:effectExtent l="0" t="0" r="0" b="0"/>
            <wp:docPr id="8598043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804364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TDD SCS=30kHz AWGN+500Hz doppler</w:t>
            </w:r>
            <w:r>
              <w:rPr>
                <w:rFonts w:hint="eastAsia"/>
                <w:sz w:val="20"/>
                <w:szCs w:val="20"/>
              </w:rPr>
              <w:t xml:space="preserve"> with TDD pattern 7DS2U and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2T2R</w:t>
            </w:r>
          </w:p>
        </w:tc>
        <w:tc>
          <w:tcPr>
            <w:tcW w:w="1780" w:type="dxa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Table4 23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T4R</w:t>
            </w:r>
          </w:p>
        </w:tc>
        <w:tc>
          <w:tcPr>
            <w:tcW w:w="1780" w:type="dxa"/>
            <w:shd w:val="clear" w:color="auto" w:fill="auto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Table4 23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20.6</w:t>
            </w:r>
          </w:p>
        </w:tc>
      </w:tr>
    </w:tbl>
    <w:p>
      <w:pPr>
        <w:tabs>
          <w:tab w:val="left" w:pos="1134"/>
        </w:tabs>
        <w:spacing w:before="120" w:after="156" w:afterLines="50"/>
      </w:pPr>
    </w:p>
    <w:p>
      <w:pPr>
        <w:tabs>
          <w:tab w:val="left" w:pos="1134"/>
        </w:tabs>
        <w:spacing w:before="120" w:after="156" w:afterLines="50"/>
        <w:jc w:val="center"/>
      </w:pPr>
      <w:r>
        <w:drawing>
          <wp:inline distT="0" distB="0" distL="0" distR="0">
            <wp:extent cx="4947285" cy="3801110"/>
            <wp:effectExtent l="0" t="0" r="0" b="0"/>
            <wp:docPr id="149245658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45658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7285" cy="380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134"/>
        </w:tabs>
        <w:spacing w:before="120" w:after="156" w:afterLines="50"/>
        <w:jc w:val="both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It is feasible to test the SNR at 70% for </w:t>
      </w:r>
      <w:r>
        <w:rPr>
          <w:b/>
          <w:bCs/>
          <w:i/>
          <w:iCs/>
          <w:sz w:val="20"/>
          <w:szCs w:val="20"/>
        </w:rPr>
        <w:t>1024QAM with MCS23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tabs>
          <w:tab w:val="left" w:pos="1134"/>
        </w:tabs>
        <w:spacing w:before="120" w:after="156" w:afterLines="50"/>
        <w:jc w:val="both"/>
        <w:rPr>
          <w:rFonts w:hint="default" w:eastAsiaTheme="minor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Support to introduce 1024QAM with MCS23 for ATG UE PDSCH demodulation requirement.</w:t>
      </w:r>
    </w:p>
    <w:p>
      <w:pPr>
        <w:pStyle w:val="2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8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065"/>
        <w:gridCol w:w="1559"/>
        <w:gridCol w:w="1701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bookmarkStart w:id="8" w:name="_Hlk135760729"/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30D4S6U S:40G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1024QAM </w:t>
            </w:r>
            <w:r>
              <w:rPr>
                <w:rFonts w:eastAsia="宋体"/>
                <w:kern w:val="2"/>
                <w:sz w:val="20"/>
                <w:szCs w:val="20"/>
              </w:rPr>
              <w:t>Table 4 MCS23</w:t>
            </w:r>
          </w:p>
          <w:p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1024QAM </w:t>
            </w:r>
            <w:r>
              <w:rPr>
                <w:rFonts w:eastAsia="宋体"/>
                <w:kern w:val="2"/>
                <w:sz w:val="20"/>
                <w:szCs w:val="20"/>
              </w:rPr>
              <w:t>Table 4 MCS23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EVM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411" w:type="dxa"/>
            <w:gridSpan w:val="2"/>
          </w:tcPr>
          <w:p>
            <w:pPr>
              <w:spacing w:after="12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% </w:t>
            </w:r>
            <w:r>
              <w:rPr>
                <w:rFonts w:hint="eastAsia"/>
                <w:sz w:val="20"/>
                <w:szCs w:val="20"/>
              </w:rPr>
              <w:t xml:space="preserve">for </w:t>
            </w:r>
            <w:r>
              <w:rPr>
                <w:sz w:val="20"/>
                <w:szCs w:val="20"/>
              </w:rPr>
              <w:t>1024</w:t>
            </w:r>
            <w:r>
              <w:rPr>
                <w:rFonts w:hint="eastAsia"/>
                <w:sz w:val="20"/>
                <w:szCs w:val="20"/>
              </w:rPr>
              <w:t xml:space="preserve">QAM </w:t>
            </w:r>
          </w:p>
          <w:p>
            <w:pPr>
              <w:spacing w:after="12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3% for 256QAM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6% for 64QAM and 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 for 7DS2U</w:t>
            </w:r>
            <w:r>
              <w:rPr>
                <w:rFonts w:eastAsia="宋体"/>
                <w:sz w:val="20"/>
                <w:szCs w:val="20"/>
              </w:rPr>
              <w:br w:type="textWrapping"/>
            </w:r>
            <w:r>
              <w:rPr>
                <w:rFonts w:eastAsia="宋体"/>
                <w:sz w:val="20"/>
                <w:szCs w:val="20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341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>provide our simulation results about NR UE ATG demodulation requirements</w:t>
      </w:r>
      <w:r>
        <w:rPr>
          <w:rFonts w:hint="eastAsia"/>
          <w:sz w:val="20"/>
          <w:szCs w:val="20"/>
          <w:lang w:val="en-US" w:eastAsia="zh-CN"/>
        </w:rPr>
        <w:t xml:space="preserve">, and </w:t>
      </w:r>
      <w:bookmarkStart w:id="9" w:name="_GoBack"/>
      <w:bookmarkEnd w:id="9"/>
      <w:r>
        <w:rPr>
          <w:rFonts w:hint="eastAsia"/>
          <w:sz w:val="20"/>
          <w:szCs w:val="20"/>
          <w:lang w:val="en-US" w:eastAsia="zh-CN"/>
        </w:rPr>
        <w:t>following observation and proposal</w:t>
      </w:r>
      <w:r>
        <w:rPr>
          <w:sz w:val="20"/>
          <w:szCs w:val="20"/>
        </w:rPr>
        <w:t>.</w:t>
      </w:r>
    </w:p>
    <w:p>
      <w:pPr>
        <w:tabs>
          <w:tab w:val="left" w:pos="1134"/>
        </w:tabs>
        <w:spacing w:before="120" w:after="156" w:afterLines="50"/>
        <w:jc w:val="both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Observation 1: It is feasible to test the SNR at 70% for </w:t>
      </w:r>
      <w:r>
        <w:rPr>
          <w:b/>
          <w:bCs/>
          <w:i/>
          <w:iCs/>
          <w:sz w:val="20"/>
          <w:szCs w:val="20"/>
        </w:rPr>
        <w:t>1024QAM with MCS23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.</w:t>
      </w:r>
    </w:p>
    <w:p>
      <w:pPr>
        <w:tabs>
          <w:tab w:val="left" w:pos="1134"/>
        </w:tabs>
        <w:spacing w:before="120" w:after="156" w:afterLines="50"/>
        <w:jc w:val="both"/>
        <w:rPr>
          <w:rFonts w:hint="default" w:eastAsiaTheme="minor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Support to introduce 1024QAM with MCS23 for ATG UE PDSCH demodulation requirement.</w:t>
      </w:r>
    </w:p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 xml:space="preserve">1] </w:t>
      </w:r>
      <w:r>
        <w:rPr>
          <w:rFonts w:hint="eastAsia"/>
          <w:sz w:val="20"/>
          <w:szCs w:val="20"/>
          <w:lang w:val="en-US" w:eastAsia="zh-CN"/>
        </w:rPr>
        <w:t xml:space="preserve">R4-231xxxx, </w:t>
      </w:r>
      <w:r>
        <w:rPr>
          <w:rFonts w:hint="eastAsia"/>
          <w:sz w:val="20"/>
          <w:szCs w:val="20"/>
          <w:lang w:val="en-GB"/>
        </w:rPr>
        <w:t>DRAFT Meeting Report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GB"/>
        </w:rPr>
        <w:t>for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GB"/>
        </w:rPr>
        <w:t>TSG RAN WG4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0"/>
          <w:lang w:val="en-GB"/>
        </w:rPr>
        <w:t>meeting: 109</w:t>
      </w:r>
      <w:r>
        <w:rPr>
          <w:rFonts w:hint="eastAsia"/>
          <w:sz w:val="20"/>
          <w:szCs w:val="20"/>
          <w:lang w:val="en-US" w:eastAsia="zh-CN"/>
        </w:rPr>
        <w:t>, RAN4 vice chair.</w:t>
      </w:r>
    </w:p>
    <w:p>
      <w:pPr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eastAsia"/>
          <w:sz w:val="20"/>
          <w:szCs w:val="20"/>
          <w:lang w:val="en-GB"/>
        </w:rPr>
        <w:t>R4-2313875</w:t>
      </w:r>
      <w:r>
        <w:rPr>
          <w:sz w:val="20"/>
          <w:szCs w:val="20"/>
          <w:lang w:val="en-GB"/>
        </w:rPr>
        <w:t>, WF for ATG demodulation requirements, CMCC</w:t>
      </w:r>
      <w:r>
        <w:rPr>
          <w:rFonts w:hint="eastAsia"/>
          <w:sz w:val="20"/>
          <w:szCs w:val="20"/>
          <w:lang w:val="en-US" w:eastAsia="zh-CN"/>
        </w:rPr>
        <w:t>.</w:t>
      </w:r>
    </w:p>
    <w:p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rFonts w:hint="eastAsia"/>
          <w:sz w:val="20"/>
          <w:szCs w:val="20"/>
          <w:lang w:val="en-US" w:eastAsia="zh-CN"/>
        </w:rPr>
        <w:t>3</w:t>
      </w:r>
      <w:r>
        <w:rPr>
          <w:sz w:val="20"/>
          <w:szCs w:val="20"/>
          <w:lang w:val="en-GB"/>
        </w:rPr>
        <w:t>] R4-230</w:t>
      </w:r>
      <w:r>
        <w:rPr>
          <w:rFonts w:hint="eastAsia"/>
          <w:sz w:val="20"/>
          <w:szCs w:val="20"/>
        </w:rPr>
        <w:t>9796</w:t>
      </w:r>
      <w:r>
        <w:rPr>
          <w:sz w:val="20"/>
          <w:szCs w:val="20"/>
          <w:lang w:val="en-GB"/>
        </w:rPr>
        <w:t>, WF for ATG demodulation requirements, CMCC.</w:t>
      </w:r>
    </w:p>
    <w:p>
      <w:pPr>
        <w:rPr>
          <w:sz w:val="20"/>
          <w:szCs w:val="20"/>
          <w:lang w:val="en-GB"/>
        </w:rPr>
      </w:pPr>
    </w:p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25A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182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08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C95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1E1D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3791D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3C79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3FB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46D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0BC3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0C8B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5B9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F9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737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1CE9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4FC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1FAA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54A"/>
    <w:rsid w:val="00E0281F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C8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34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1C1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6064D5"/>
    <w:rsid w:val="1263047A"/>
    <w:rsid w:val="145813A1"/>
    <w:rsid w:val="15FE2362"/>
    <w:rsid w:val="1F726405"/>
    <w:rsid w:val="20E44326"/>
    <w:rsid w:val="21C302ED"/>
    <w:rsid w:val="286543B1"/>
    <w:rsid w:val="300F497A"/>
    <w:rsid w:val="30D1355B"/>
    <w:rsid w:val="48A3559B"/>
    <w:rsid w:val="4A6555AE"/>
    <w:rsid w:val="536F238D"/>
    <w:rsid w:val="571B260F"/>
    <w:rsid w:val="576C7617"/>
    <w:rsid w:val="5AA555C9"/>
    <w:rsid w:val="5F333E46"/>
    <w:rsid w:val="61612C95"/>
    <w:rsid w:val="65CD34E1"/>
    <w:rsid w:val="72614D15"/>
    <w:rsid w:val="74D93467"/>
    <w:rsid w:val="7E5E1D99"/>
    <w:rsid w:val="7F2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0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table" w:customStyle="1" w:styleId="84">
    <w:name w:val="网格型1"/>
    <w:basedOn w:val="19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465</Words>
  <Characters>2655</Characters>
  <Lines>22</Lines>
  <Paragraphs>6</Paragraphs>
  <TotalTime>2</TotalTime>
  <ScaleCrop>false</ScaleCrop>
  <LinksUpToDate>false</LinksUpToDate>
  <CharactersWithSpaces>3114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2023-09-11T08:55:00Z</dcterms:created>
  <dc:creator>Shiyuan Wang</dc:creator>
  <cp:lastModifiedBy>CMCC-shiyuan-0130</cp:lastModifiedBy>
  <dcterms:modified xsi:type="dcterms:W3CDTF">2024-02-19T09:31:10Z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72D3A893453644688EA841A72DC1B49E</vt:lpwstr>
  </property>
</Properties>
</file>